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Морква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03221112-4-Морква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03221113-1-Цибуля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03221111-7-Буряк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03221410-3-Капуста качанна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03221210-1-Квасоля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 селери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орінь петрушки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71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EB51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3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EB51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4238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EB5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lastRenderedPageBreak/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EB5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EB51F2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B5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сімдесят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вісімсот шістдесят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73E82" w:rsidRDefault="00EB51F2" w:rsidP="00EB51F2">
      <w:pPr>
        <w:pStyle w:val="aa"/>
        <w:jc w:val="both"/>
        <w:rPr>
          <w:b/>
        </w:rPr>
      </w:pPr>
      <w:r>
        <w:rPr>
          <w:sz w:val="28"/>
          <w:szCs w:val="28"/>
          <w:lang w:eastAsia="ru-RU"/>
        </w:rPr>
        <w:t>Керуючись пунктом</w:t>
      </w:r>
      <w:r w:rsidRPr="00FD72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FD728E">
        <w:rPr>
          <w:sz w:val="28"/>
          <w:szCs w:val="28"/>
          <w:lang w:eastAsia="ru-RU"/>
        </w:rPr>
        <w:t xml:space="preserve"> частини 2 статті 40 ЗУ </w:t>
      </w:r>
      <w:r>
        <w:rPr>
          <w:sz w:val="28"/>
          <w:szCs w:val="28"/>
          <w:lang w:eastAsia="ru-RU"/>
        </w:rPr>
        <w:t>«Про публічні закупівлі» від 25.12.2015 №922-</w:t>
      </w:r>
      <w:r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eastAsia="ru-RU"/>
        </w:rPr>
        <w:t>ІІІ з</w:t>
      </w:r>
      <w:r w:rsidRPr="0051617C">
        <w:rPr>
          <w:sz w:val="28"/>
          <w:szCs w:val="28"/>
          <w:lang w:eastAsia="ru-RU"/>
        </w:rPr>
        <w:t xml:space="preserve">астосовується </w:t>
      </w:r>
      <w:r>
        <w:rPr>
          <w:sz w:val="28"/>
          <w:szCs w:val="28"/>
          <w:lang w:eastAsia="ru-RU"/>
        </w:rPr>
        <w:t xml:space="preserve">переговорна </w:t>
      </w:r>
      <w:r w:rsidRPr="0051617C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а як виняток у разі </w:t>
      </w:r>
      <w:bookmarkStart w:id="1" w:name="_Hlk37170756"/>
      <w:r w:rsidRPr="00467159">
        <w:rPr>
          <w:color w:val="000000" w:themeColor="text1"/>
          <w:sz w:val="28"/>
          <w:szCs w:val="28"/>
          <w:shd w:val="clear" w:color="auto" w:fill="FFFFFF"/>
        </w:rPr>
        <w:t xml:space="preserve">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</w:t>
      </w:r>
      <w:r w:rsidRPr="00467159">
        <w:rPr>
          <w:color w:val="000000" w:themeColor="text1"/>
          <w:sz w:val="28"/>
          <w:szCs w:val="28"/>
          <w:shd w:val="clear" w:color="auto" w:fill="FFFFFF"/>
        </w:rPr>
        <w:lastRenderedPageBreak/>
        <w:t>відрізнятися від вимог, що були визначені замовником у тендерній документації.</w:t>
      </w:r>
      <w:bookmarkEnd w:id="1"/>
    </w:p>
    <w:p w:rsidR="00873E82" w:rsidRDefault="00873E82" w:rsidP="00873E82">
      <w:pPr>
        <w:pStyle w:val="aa"/>
        <w:jc w:val="right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C711A1" w:rsidRPr="00C711A1" w:rsidRDefault="00C711A1" w:rsidP="00C711A1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Овочі (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Морква, цибуля, буряк, капуста, квасоля, корінь селери, корінь петрушки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) код 03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220000-9 «Овочі, фрукти та горіхи» 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ДК 021:2015</w:t>
      </w: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992"/>
        <w:gridCol w:w="1276"/>
        <w:gridCol w:w="6095"/>
      </w:tblGrid>
      <w:tr w:rsidR="00C711A1" w:rsidRPr="00C711A1" w:rsidTr="002D1562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Заплановано поставити протягом 2022 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Технічні, якісні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характеристики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3900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без бадилля, але без ознак загнивання у ділянці.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За формою циліндрична або округла, або конічна. Вага коренеплоду має бути не менше 100 гр.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Цибуля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 Смак і запах властиві даному ботанічному сорту, без стороннього запаху і присмаку. Розмір цибулин за найбільшим поперечним діаметром для овальних форм/для решти форм, не менше 5,0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см - 6,0 см. Внутрішня будова: м’якуш соковитий.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Буряк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відхилами за формою, але не потворні. Форма коренеплоду округла або циліндрична, або пласка, або конічна. Смак і запах властиві даному ботанічному сорту, без стороннього запаху і присмаку. Внутрішня будова: м’якуш соковитий, темно-червоний різних відтінків залежно від особливостей ботанічного сорту. Розмір коренеплоду за найбільшим поперечним діаметром 7,0 см - 10,0 см.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5700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Головки свіжі, цілі, здорові, чисті, цілком сформовані,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Щільність головки: щільні (середньо- та пізньостигла) та різного ступеня щільності (ранньостигла). Стиглість: пізньостигла, середньостигла, ранньостигла.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Квасоля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910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Дозрілі, без механічних пошкоджень та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тріщин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гарно очищені зерна білого кольору, незаражене шкідниками, без надлишку зовнішньої вологості та без стороннього запаху та присмаку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селери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Згідно ДСТУ 289-91 Зовнішній вигляд: коренеплоди свіжі, чисті, цілі, здорові, такі, що за формою відповідають ботанічному сорту. Бічні нижні корені мають бути обрізані до 50 мм від коренеплоду, а черешки листя зрізані заввишки до 15 мм. Внутрішня будова: м'якуш коренеплоду білий, соковитий, 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щільний, з серцевиною, що не загрубіла, без порожнеч. Розмір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коренеплода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найбільшому поперечному діаметрі не менше 40 мм.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петрушки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 перевищеного вмісту хімічних речовин, без ознак гнилі, механічного пошкодження та пошкодження шкідниками, з рівною поверхнею, з нормальним розгалуженням коренеплодів. Стан поверхні плодів – відсутність забрудненості землею (допускається 0,1%). Забарвлення зазвичай білого або жовтуватого кольору та має відповідати вигляду, що обумовлює ступінь зрілості.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C711A1" w:rsidRPr="00C711A1" w:rsidRDefault="00C711A1" w:rsidP="00C711A1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C711A1" w:rsidRPr="00C711A1" w:rsidRDefault="00C711A1" w:rsidP="00C711A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C711A1" w:rsidRPr="00C711A1" w:rsidRDefault="00C711A1" w:rsidP="00C71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C711A1" w:rsidRPr="00C711A1" w:rsidRDefault="00C711A1" w:rsidP="00C7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C711A1" w:rsidRPr="00C711A1" w:rsidTr="002D1562">
        <w:trPr>
          <w:trHeight w:val="630"/>
        </w:trPr>
        <w:tc>
          <w:tcPr>
            <w:tcW w:w="2965" w:type="pct"/>
            <w:vAlign w:val="bottom"/>
            <w:hideMark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гімназія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І-ІІІ ступенів- №1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ривітна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№3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Козацька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Козари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Шкільна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Іржавецька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Іржавець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Сулацька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Миколаївська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Держанівський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ЗЗСО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р-н,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вул. Лесі Українки, 15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Воскресенська, 11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Цукрозаводська,8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Дзвіночок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Освіти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C711A1" w:rsidRPr="00C711A1" w:rsidRDefault="00C711A1" w:rsidP="00241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/>
        </w:rPr>
      </w:pPr>
    </w:p>
    <w:sectPr w:rsidR="00C711A1" w:rsidRPr="00C711A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241AAD"/>
    <w:rsid w:val="00251D7A"/>
    <w:rsid w:val="00264DEE"/>
    <w:rsid w:val="00276FD6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96C02"/>
    <w:rsid w:val="005E4170"/>
    <w:rsid w:val="00624BF3"/>
    <w:rsid w:val="006B7C16"/>
    <w:rsid w:val="00740619"/>
    <w:rsid w:val="007E36ED"/>
    <w:rsid w:val="00865062"/>
    <w:rsid w:val="00873E82"/>
    <w:rsid w:val="0089292C"/>
    <w:rsid w:val="008C400B"/>
    <w:rsid w:val="008F7E38"/>
    <w:rsid w:val="00901C2D"/>
    <w:rsid w:val="009107D2"/>
    <w:rsid w:val="009734A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B51F2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2022-01-05T14:32:00Z</dcterms:created>
  <dcterms:modified xsi:type="dcterms:W3CDTF">2022-01-05T14:32:00Z</dcterms:modified>
</cp:coreProperties>
</file>